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5" w:lineRule="auto"/>
        <w:jc w:val="center"/>
      </w:pPr>
      <w:r>
        <w:rPr>
          <w:rFonts w:ascii="Arial" w:hAnsi="Arial"/>
          <w:b/>
          <w:color w:val="1F4E79"/>
          <w:sz w:val="32"/>
        </w:rPr>
        <w:t>FURNITURE DURING-PRODUCTION &amp; PRE-SHIPMENT INSPECTION PROCEDURE</w:t>
      </w:r>
    </w:p>
    <w:p>
      <w:pPr>
        <w:spacing w:line="245" w:lineRule="auto"/>
        <w:jc w:val="center"/>
      </w:pPr>
      <w:r>
        <w:rPr>
          <w:rFonts w:ascii="Arial" w:hAnsi="Arial"/>
          <w:i/>
          <w:sz w:val="18"/>
        </w:rPr>
        <w:t>General Furniture Quality Assurance Procedure</w:t>
      </w:r>
    </w:p>
    <w:tbl>
      <w:tblPr>
        <w:tblW w:type="auto" w:w="0"/>
        <w:jc w:val="center"/>
        <w:tblLayout w:type="fixed"/>
        <w:tblLook w:firstColumn="1" w:firstRow="1" w:lastColumn="0" w:lastRow="0" w:noHBand="0" w:noVBand="1" w:val="04A0"/>
        <w:tblBorders>
          <w:top w:val="single" w:sz="4" w:color="C9D0D6"/>
          <w:left w:val="single" w:sz="4" w:color="C9D0D6"/>
          <w:bottom w:val="single" w:sz="4" w:color="C9D0D6"/>
          <w:right w:val="single" w:sz="4" w:color="C9D0D6"/>
          <w:insideH w:val="single" w:sz="4" w:color="C9D0D6"/>
          <w:insideV w:val="single" w:sz="4" w:color="C9D0D6"/>
        </w:tblBorders>
      </w:tblPr>
      <w:tblGrid>
        <w:gridCol w:w="2581"/>
        <w:gridCol w:w="2581"/>
        <w:gridCol w:w="2581"/>
        <w:gridCol w:w="2581"/>
      </w:tblGrid>
      <w:tr>
        <w:tc>
          <w:tcPr>
            <w:tcW w:type="dxa" w:w="1944"/>
            <w:vAlign w:val="center"/>
            <w:shd w:fill="D9EAF7"/>
          </w:tcPr>
          <w:p>
            <w:pPr>
              <w:spacing w:after="0"/>
            </w:pPr>
            <w:r/>
            <w:r>
              <w:rPr>
                <w:rFonts w:ascii="Arial" w:hAnsi="Arial"/>
                <w:b/>
                <w:sz w:val="16"/>
              </w:rPr>
              <w:t>Document Type</w:t>
            </w:r>
          </w:p>
        </w:tc>
        <w:tc>
          <w:tcPr>
            <w:tcW w:type="dxa" w:w="3672"/>
            <w:vAlign w:val="center"/>
          </w:tcPr>
          <w:p>
            <w:pPr>
              <w:spacing w:after="0"/>
            </w:pPr>
            <w:r/>
            <w:r>
              <w:rPr>
                <w:rFonts w:ascii="Arial" w:hAnsi="Arial"/>
                <w:b w:val="0"/>
                <w:sz w:val="16"/>
              </w:rPr>
              <w:t>Inspection Procedure</w:t>
            </w:r>
          </w:p>
        </w:tc>
        <w:tc>
          <w:tcPr>
            <w:tcW w:type="dxa" w:w="1944"/>
            <w:vAlign w:val="center"/>
            <w:shd w:fill="D9EAF7"/>
          </w:tcPr>
          <w:p>
            <w:pPr>
              <w:spacing w:after="0"/>
            </w:pPr>
            <w:r/>
            <w:r>
              <w:rPr>
                <w:rFonts w:ascii="Arial" w:hAnsi="Arial"/>
                <w:b/>
                <w:sz w:val="16"/>
              </w:rPr>
              <w:t>Revision</w:t>
            </w:r>
          </w:p>
        </w:tc>
        <w:tc>
          <w:tcPr>
            <w:tcW w:type="dxa" w:w="3672"/>
            <w:vAlign w:val="center"/>
          </w:tcPr>
          <w:p>
            <w:pPr>
              <w:spacing w:after="0"/>
            </w:pPr>
            <w:r/>
            <w:r>
              <w:rPr>
                <w:rFonts w:ascii="Arial" w:hAnsi="Arial"/>
                <w:b w:val="0"/>
                <w:sz w:val="16"/>
              </w:rPr>
              <w:t>Rev. 01</w:t>
            </w:r>
          </w:p>
        </w:tc>
      </w:tr>
      <w:tr>
        <w:tc>
          <w:tcPr>
            <w:tcW w:type="dxa" w:w="1944"/>
            <w:vAlign w:val="center"/>
            <w:shd w:fill="D9EAF7"/>
          </w:tcPr>
          <w:p>
            <w:pPr>
              <w:spacing w:after="0"/>
            </w:pPr>
            <w:r/>
            <w:r>
              <w:rPr>
                <w:rFonts w:ascii="Arial" w:hAnsi="Arial"/>
                <w:b/>
                <w:sz w:val="16"/>
              </w:rPr>
              <w:t>Applies To</w:t>
            </w:r>
          </w:p>
        </w:tc>
        <w:tc>
          <w:tcPr>
            <w:tcW w:type="dxa" w:w="3672"/>
            <w:vAlign w:val="center"/>
          </w:tcPr>
          <w:p>
            <w:pPr>
              <w:spacing w:after="0"/>
            </w:pPr>
            <w:r/>
            <w:r>
              <w:rPr>
                <w:rFonts w:ascii="Arial" w:hAnsi="Arial"/>
                <w:b w:val="0"/>
                <w:sz w:val="16"/>
              </w:rPr>
              <w:t>Furniture Products</w:t>
            </w:r>
          </w:p>
        </w:tc>
        <w:tc>
          <w:tcPr>
            <w:tcW w:type="dxa" w:w="1944"/>
            <w:vAlign w:val="center"/>
            <w:shd w:fill="D9EAF7"/>
          </w:tcPr>
          <w:p>
            <w:pPr>
              <w:spacing w:after="0"/>
            </w:pPr>
            <w:r/>
            <w:r>
              <w:rPr>
                <w:rFonts w:ascii="Arial" w:hAnsi="Arial"/>
                <w:b/>
                <w:sz w:val="16"/>
              </w:rPr>
              <w:t>Prepared by</w:t>
            </w:r>
          </w:p>
        </w:tc>
        <w:tc>
          <w:tcPr>
            <w:tcW w:type="dxa" w:w="3672"/>
            <w:vAlign w:val="center"/>
          </w:tcPr>
          <w:p>
            <w:pPr>
              <w:spacing w:after="0"/>
            </w:pPr>
            <w:r/>
            <w:r>
              <w:rPr>
                <w:rFonts w:ascii="Arial" w:hAnsi="Arial"/>
                <w:b w:val="0"/>
                <w:sz w:val="16"/>
              </w:rPr>
              <w:t>____________</w:t>
            </w:r>
          </w:p>
        </w:tc>
      </w:tr>
      <w:tr>
        <w:tc>
          <w:tcPr>
            <w:tcW w:type="dxa" w:w="1944"/>
            <w:vAlign w:val="center"/>
            <w:shd w:fill="D9EAF7"/>
          </w:tcPr>
          <w:p>
            <w:pPr>
              <w:spacing w:after="0"/>
            </w:pPr>
            <w:r/>
            <w:r>
              <w:rPr>
                <w:rFonts w:ascii="Arial" w:hAnsi="Arial"/>
                <w:b/>
                <w:sz w:val="16"/>
              </w:rPr>
              <w:t>Date</w:t>
            </w:r>
          </w:p>
        </w:tc>
        <w:tc>
          <w:tcPr>
            <w:tcW w:type="dxa" w:w="3672"/>
            <w:vAlign w:val="center"/>
          </w:tcPr>
          <w:p>
            <w:pPr>
              <w:spacing w:after="0"/>
            </w:pPr>
            <w:r/>
            <w:r>
              <w:rPr>
                <w:rFonts w:ascii="Arial" w:hAnsi="Arial"/>
                <w:b w:val="0"/>
                <w:sz w:val="16"/>
              </w:rPr>
              <w:t>____________</w:t>
            </w:r>
          </w:p>
        </w:tc>
        <w:tc>
          <w:tcPr>
            <w:tcW w:type="dxa" w:w="1944"/>
            <w:vAlign w:val="center"/>
            <w:shd w:fill="D9EAF7"/>
          </w:tcPr>
          <w:p>
            <w:pPr>
              <w:spacing w:after="0"/>
            </w:pPr>
            <w:r/>
            <w:r>
              <w:rPr>
                <w:rFonts w:ascii="Arial" w:hAnsi="Arial"/>
                <w:b/>
                <w:sz w:val="16"/>
              </w:rPr>
              <w:t>Customer / Project</w:t>
            </w:r>
          </w:p>
        </w:tc>
        <w:tc>
          <w:tcPr>
            <w:tcW w:type="dxa" w:w="3672"/>
            <w:vAlign w:val="center"/>
          </w:tcPr>
          <w:p>
            <w:pPr>
              <w:spacing w:after="0"/>
            </w:pPr>
            <w:r/>
            <w:r>
              <w:rPr>
                <w:rFonts w:ascii="Arial" w:hAnsi="Arial"/>
                <w:b w:val="0"/>
                <w:sz w:val="16"/>
              </w:rPr>
              <w:t>As applicable</w:t>
            </w:r>
          </w:p>
        </w:tc>
      </w:tr>
    </w:tbl>
    <w:p>
      <w:pPr>
        <w:spacing w:before="80" w:after="60" w:line="245" w:lineRule="auto"/>
      </w:pPr>
      <w:r>
        <w:rPr>
          <w:i/>
          <w:sz w:val="15"/>
        </w:rPr>
        <w:t>Source basis: This procedure consolidates the existing TSG during-production and pre-shipment inspection rules into a customer-neutral furniture procedure.</w:t>
      </w:r>
    </w:p>
    <w:p>
      <w:pPr>
        <w:pStyle w:val="Heading1"/>
        <w:keepNext/>
        <w:spacing w:before="120" w:after="60" w:line="245" w:lineRule="auto"/>
      </w:pPr>
      <w:r>
        <w:t>1. Purpose</w:t>
      </w:r>
    </w:p>
    <w:p>
      <w:pPr>
        <w:spacing w:after="60" w:line="245" w:lineRule="auto"/>
      </w:pPr>
      <w:r>
        <w:t>This procedure defines the minimum quality checks to be performed during production and before shipment of furniture products. It is intended to ensure that production remains aligned with the approved product specification, sample, drawings, BOM, packaging requirements and applicable testing requirements.</w:t>
      </w:r>
    </w:p>
    <w:p>
      <w:pPr>
        <w:pStyle w:val="Heading1"/>
        <w:keepNext/>
        <w:spacing w:before="120" w:after="60" w:line="245" w:lineRule="auto"/>
      </w:pPr>
      <w:r>
        <w:t>2. Inspection Control Principles</w:t>
      </w:r>
    </w:p>
    <w:p>
      <w:pPr>
        <w:pStyle w:val="ListBullet"/>
        <w:spacing w:after="40" w:line="245" w:lineRule="auto"/>
        <w:ind w:left="259" w:hanging="202"/>
      </w:pPr>
      <w:r>
        <w:t>Use the latest approved product information as the inspection reference, including product specification, manufacturing drawings, BOM, approved samples, approved finishing references, assembly instructions and applicable customer requirements.</w:t>
      </w:r>
    </w:p>
    <w:p>
      <w:pPr>
        <w:pStyle w:val="ListBullet"/>
        <w:spacing w:after="40" w:line="245" w:lineRule="auto"/>
        <w:ind w:left="259" w:hanging="202"/>
      </w:pPr>
      <w:r>
        <w:t>Use the factory production and packing schedules to plan inspection timing and identify potential shipment-delay risks.</w:t>
      </w:r>
    </w:p>
    <w:p>
      <w:pPr>
        <w:pStyle w:val="ListBullet"/>
        <w:spacing w:after="40" w:line="245" w:lineRule="auto"/>
        <w:ind w:left="259" w:hanging="202"/>
      </w:pPr>
      <w:r>
        <w:t>Record defects or non-compliance when found, require immediate improvement where appropriate, and verify corrective action before final shipment release.</w:t>
      </w:r>
    </w:p>
    <w:p>
      <w:pPr>
        <w:pStyle w:val="ListBullet"/>
        <w:spacing w:after="40" w:line="245" w:lineRule="auto"/>
        <w:ind w:left="259" w:hanging="202"/>
      </w:pPr>
      <w:r>
        <w:t>Where the requirement differs by customer, product or project, follow the applicable approved requirement rather than applying a universal assumption.</w:t>
      </w:r>
    </w:p>
    <w:p>
      <w:pPr>
        <w:pStyle w:val="Heading1"/>
        <w:keepNext/>
        <w:spacing w:before="120" w:after="60" w:line="245" w:lineRule="auto"/>
      </w:pPr>
      <w:r>
        <w:t>3. During-Production Inspection (DUPRO)</w:t>
      </w:r>
    </w:p>
    <w:p>
      <w:pPr>
        <w:spacing w:line="245" w:lineRule="auto"/>
      </w:pPr>
      <w:r>
        <w:t>DUPRO is used to verify production quality while there is still sufficient time for the factory to correct issues before packing and shipment.</w:t>
      </w:r>
    </w:p>
    <w:p>
      <w:pPr>
        <w:pStyle w:val="Heading2"/>
        <w:keepNext/>
        <w:spacing w:before="80" w:after="60" w:line="245" w:lineRule="auto"/>
      </w:pPr>
      <w:r>
        <w:t>3.1 Production Planning and Readiness</w:t>
      </w:r>
    </w:p>
    <w:p>
      <w:pPr>
        <w:pStyle w:val="ListBullet"/>
        <w:spacing w:after="40" w:line="245" w:lineRule="auto"/>
        <w:ind w:left="259" w:hanging="202"/>
      </w:pPr>
      <w:r>
        <w:t>Obtain the factory production plan and use it to schedule DUPRO inspections.</w:t>
      </w:r>
    </w:p>
    <w:p>
      <w:pPr>
        <w:pStyle w:val="ListBullet"/>
        <w:spacing w:after="40" w:line="245" w:lineRule="auto"/>
        <w:ind w:left="259" w:hanging="202"/>
      </w:pPr>
      <w:r>
        <w:t>Inform the relevant project or shipping contact when production is delayed and shipment timing may be affected.</w:t>
      </w:r>
    </w:p>
    <w:p>
      <w:pPr>
        <w:pStyle w:val="ListBullet"/>
        <w:spacing w:after="40" w:line="245" w:lineRule="auto"/>
        <w:ind w:left="259" w:hanging="202"/>
      </w:pPr>
      <w:r>
        <w:t>Validate the first production run sample for each component or part where applicable.</w:t>
      </w:r>
    </w:p>
    <w:p>
      <w:pPr>
        <w:pStyle w:val="Heading2"/>
        <w:keepNext/>
        <w:spacing w:before="80" w:after="60" w:line="245" w:lineRule="auto"/>
      </w:pPr>
      <w:r>
        <w:t>3.2 Material and Component Checks</w:t>
      </w:r>
    </w:p>
    <w:p>
      <w:pPr>
        <w:pStyle w:val="ListBullet"/>
        <w:spacing w:after="40" w:line="245" w:lineRule="auto"/>
        <w:ind w:left="259" w:hanging="202"/>
      </w:pPr>
      <w:r>
        <w:t>Check board quality, including raw-board density where applicable.</w:t>
      </w:r>
    </w:p>
    <w:p>
      <w:pPr>
        <w:pStyle w:val="ListBullet"/>
        <w:spacing w:after="40" w:line="245" w:lineRule="auto"/>
        <w:ind w:left="259" w:hanging="202"/>
      </w:pPr>
      <w:r>
        <w:t>Check FSC / PEFC certification when FSC / PEFC is claimed.</w:t>
      </w:r>
    </w:p>
    <w:p>
      <w:pPr>
        <w:pStyle w:val="ListBullet"/>
        <w:spacing w:after="40" w:line="245" w:lineRule="auto"/>
        <w:ind w:left="259" w:hanging="202"/>
      </w:pPr>
      <w:r>
        <w:t>Match production paper code and colour to the approved binding sample.</w:t>
      </w:r>
    </w:p>
    <w:p>
      <w:pPr>
        <w:pStyle w:val="ListBullet"/>
        <w:spacing w:after="40" w:line="245" w:lineRule="auto"/>
        <w:ind w:left="259" w:hanging="202"/>
      </w:pPr>
      <w:r>
        <w:t>Check paper lamination, glue bonding and surface smoothness.</w:t>
      </w:r>
    </w:p>
    <w:p>
      <w:pPr>
        <w:pStyle w:val="ListBullet"/>
        <w:spacing w:after="40" w:line="245" w:lineRule="auto"/>
        <w:ind w:left="259" w:hanging="202"/>
      </w:pPr>
      <w:r>
        <w:t>Check cut-panel dimensions, right angles and cutting quality against the manufacturing drawing.</w:t>
      </w:r>
    </w:p>
    <w:p>
      <w:pPr>
        <w:pStyle w:val="ListBullet"/>
        <w:spacing w:after="40" w:line="245" w:lineRule="auto"/>
        <w:ind w:left="259" w:hanging="202"/>
      </w:pPr>
      <w:r>
        <w:t>Check PVC / paper edge-band specifications and bonding quality; verify edge-band smoothness and any serrated edge condition.</w:t>
      </w:r>
    </w:p>
    <w:p>
      <w:pPr>
        <w:pStyle w:val="ListBullet"/>
        <w:spacing w:after="40" w:line="245" w:lineRule="auto"/>
        <w:ind w:left="259" w:hanging="202"/>
      </w:pPr>
      <w:r>
        <w:t>Check hole location, size and drilling quality against the manufacturing drawing.</w:t>
      </w:r>
    </w:p>
    <w:p>
      <w:pPr>
        <w:pStyle w:val="ListBullet"/>
        <w:spacing w:after="40" w:line="245" w:lineRule="auto"/>
        <w:ind w:left="259" w:hanging="202"/>
      </w:pPr>
      <w:r>
        <w:t>Check cutting angles for miter-fold or miter-join components.</w:t>
      </w:r>
    </w:p>
    <w:p>
      <w:pPr>
        <w:pStyle w:val="ListBullet"/>
        <w:spacing w:after="40" w:line="245" w:lineRule="auto"/>
        <w:ind w:left="259" w:hanging="202"/>
      </w:pPr>
      <w:r>
        <w:t>Check bonding quality and workmanship for hand-wrapped or hot-membrane parts.</w:t>
      </w:r>
    </w:p>
    <w:p>
      <w:pPr>
        <w:pStyle w:val="ListBullet"/>
        <w:spacing w:after="40" w:line="245" w:lineRule="auto"/>
        <w:ind w:left="259" w:hanging="202"/>
      </w:pPr>
      <w:r>
        <w:t>Check concealed internal structures before they are sealed or no longer accessible.</w:t>
      </w:r>
    </w:p>
    <w:p>
      <w:pPr>
        <w:pStyle w:val="Heading2"/>
        <w:keepNext/>
        <w:spacing w:before="80" w:after="60" w:line="245" w:lineRule="auto"/>
      </w:pPr>
      <w:r>
        <w:t>3.3 Construction, Assembly and Workmanship</w:t>
      </w:r>
    </w:p>
    <w:p>
      <w:pPr>
        <w:pStyle w:val="ListBullet"/>
        <w:spacing w:after="40" w:line="245" w:lineRule="auto"/>
        <w:ind w:left="259" w:hanging="202"/>
      </w:pPr>
      <w:r>
        <w:t>Check quality of miter-fold joints and other critical joints.</w:t>
      </w:r>
    </w:p>
    <w:p>
      <w:pPr>
        <w:pStyle w:val="ListBullet"/>
        <w:spacing w:after="40" w:line="245" w:lineRule="auto"/>
        <w:ind w:left="259" w:hanging="202"/>
      </w:pPr>
      <w:r>
        <w:t>Observe cleaning and touch-up work and confirm that the finished appearance is acceptable.</w:t>
      </w:r>
    </w:p>
    <w:p>
      <w:pPr>
        <w:pStyle w:val="ListBullet"/>
        <w:spacing w:after="40" w:line="245" w:lineRule="auto"/>
        <w:ind w:left="259" w:hanging="202"/>
      </w:pPr>
      <w:r>
        <w:t>Check pre-assembled components / parts for quality and measurement.</w:t>
      </w:r>
    </w:p>
    <w:p>
      <w:pPr>
        <w:pStyle w:val="ListBullet"/>
        <w:spacing w:after="40" w:line="245" w:lineRule="auto"/>
        <w:ind w:left="259" w:hanging="202"/>
      </w:pPr>
      <w:r>
        <w:t>Conduct in-production assembly tests where sufficient parts are available to assemble the unit or otherwise verify the critical assembly steps.</w:t>
      </w:r>
    </w:p>
    <w:p>
      <w:pPr>
        <w:pStyle w:val="ListBullet"/>
        <w:spacing w:after="40" w:line="245" w:lineRule="auto"/>
        <w:ind w:left="259" w:hanging="202"/>
      </w:pPr>
      <w:r>
        <w:t>Check outsourced components before they move to the packing line.</w:t>
      </w:r>
    </w:p>
    <w:p>
      <w:pPr>
        <w:pStyle w:val="ListBullet"/>
        <w:spacing w:after="40" w:line="245" w:lineRule="auto"/>
        <w:ind w:left="259" w:hanging="202"/>
      </w:pPr>
      <w:r>
        <w:t>Check hardware brand, quality, quantity and specifications against the applicable BOM / hardware list.</w:t>
      </w:r>
    </w:p>
    <w:p>
      <w:pPr>
        <w:pStyle w:val="ListBullet"/>
        <w:spacing w:after="40" w:line="245" w:lineRule="auto"/>
        <w:ind w:left="259" w:hanging="202"/>
      </w:pPr>
      <w:r>
        <w:t>Require immediate improvement where improper stacking or handling between workstations is observed.</w:t>
      </w:r>
    </w:p>
    <w:p>
      <w:pPr>
        <w:pStyle w:val="Heading2"/>
        <w:keepNext/>
        <w:spacing w:before="80" w:after="60" w:line="245" w:lineRule="auto"/>
      </w:pPr>
      <w:r>
        <w:t>3.4 DUPRO Findings and Follow-Up</w:t>
      </w:r>
    </w:p>
    <w:p>
      <w:pPr>
        <w:pStyle w:val="ListBullet"/>
        <w:spacing w:after="40" w:line="245" w:lineRule="auto"/>
        <w:ind w:left="259" w:hanging="202"/>
      </w:pPr>
      <w:r>
        <w:t>Any defective or non-compliant component / part shall be reported to the factory production and QC leader for immediate improvement.</w:t>
      </w:r>
    </w:p>
    <w:p>
      <w:pPr>
        <w:pStyle w:val="ListBullet"/>
        <w:spacing w:after="40" w:line="245" w:lineRule="auto"/>
        <w:ind w:left="259" w:hanging="202"/>
      </w:pPr>
      <w:r>
        <w:t>Record significant findings and the corrective action taken.</w:t>
      </w:r>
    </w:p>
    <w:p>
      <w:pPr>
        <w:pStyle w:val="ListBullet"/>
        <w:spacing w:after="40" w:line="245" w:lineRule="auto"/>
        <w:ind w:left="259" w:hanging="202"/>
      </w:pPr>
      <w:r>
        <w:t>Items identified during DUPRO shall be rechecked during PSI where applicable to confirm that corrective action has been completed.</w:t>
      </w:r>
    </w:p>
    <w:p>
      <w:pPr>
        <w:pStyle w:val="ListBullet"/>
        <w:spacing w:after="40" w:line="245" w:lineRule="auto"/>
        <w:ind w:left="259" w:hanging="202"/>
      </w:pPr>
      <w:r>
        <w:t>Uncorrected or repeated non-compliance shall be escalated before shipment release.</w:t>
      </w:r>
    </w:p>
    <w:p>
      <w:pPr>
        <w:pStyle w:val="Heading1"/>
        <w:keepNext/>
        <w:spacing w:before="120" w:after="60" w:line="245" w:lineRule="auto"/>
      </w:pPr>
      <w:r>
        <w:t>4. Pre-Shipment Inspection (PSI)</w:t>
      </w:r>
    </w:p>
    <w:p>
      <w:pPr>
        <w:spacing w:line="245" w:lineRule="auto"/>
      </w:pPr>
      <w:r>
        <w:t>PSI is used to confirm production, packing, assembly, testing and shipment readiness before the order is released.</w:t>
      </w:r>
    </w:p>
    <w:p>
      <w:pPr>
        <w:pStyle w:val="Heading2"/>
        <w:keepNext/>
        <w:spacing w:before="80" w:after="60" w:line="245" w:lineRule="auto"/>
      </w:pPr>
      <w:r>
        <w:t>4.1 Pre-Packing Check and Scheduling</w:t>
      </w:r>
    </w:p>
    <w:p>
      <w:pPr>
        <w:pStyle w:val="ListBullet"/>
        <w:spacing w:after="40" w:line="245" w:lineRule="auto"/>
        <w:ind w:left="259" w:hanging="202"/>
      </w:pPr>
      <w:r>
        <w:t>Obtain the initial factory production plan and packing schedule in advance of the planned shipment date.</w:t>
      </w:r>
    </w:p>
    <w:p>
      <w:pPr>
        <w:pStyle w:val="ListBullet"/>
        <w:spacing w:after="40" w:line="245" w:lineRule="auto"/>
        <w:ind w:left="259" w:hanging="202"/>
      </w:pPr>
      <w:r>
        <w:t>Arrange PSI before packing begins where a pre-packing check is required.</w:t>
      </w:r>
    </w:p>
    <w:p>
      <w:pPr>
        <w:pStyle w:val="ListBullet"/>
        <w:spacing w:after="40" w:line="245" w:lineRule="auto"/>
        <w:ind w:left="259" w:hanging="202"/>
      </w:pPr>
      <w:r>
        <w:t>Record when packing is performed on a night shift or under conditions that prevent the pre-packing check.</w:t>
      </w:r>
    </w:p>
    <w:p>
      <w:pPr>
        <w:pStyle w:val="ListBullet"/>
        <w:spacing w:after="40" w:line="245" w:lineRule="auto"/>
        <w:ind w:left="259" w:hanging="202"/>
      </w:pPr>
      <w:r>
        <w:t>Report a moved packing date when on-time shipment is at risk.</w:t>
      </w:r>
    </w:p>
    <w:p>
      <w:pPr>
        <w:pStyle w:val="Heading2"/>
        <w:keepNext/>
        <w:spacing w:before="80" w:after="60" w:line="245" w:lineRule="auto"/>
      </w:pPr>
      <w:r>
        <w:t>4.2 Packing Line and Product Readiness</w:t>
      </w:r>
    </w:p>
    <w:p>
      <w:pPr>
        <w:pStyle w:val="ListBullet"/>
        <w:spacing w:after="40" w:line="245" w:lineRule="auto"/>
        <w:ind w:left="259" w:hanging="202"/>
      </w:pPr>
      <w:r>
        <w:t>Check packing-line material readiness.</w:t>
      </w:r>
    </w:p>
    <w:p>
      <w:pPr>
        <w:pStyle w:val="ListBullet"/>
        <w:spacing w:after="40" w:line="245" w:lineRule="auto"/>
        <w:ind w:left="259" w:hanging="202"/>
      </w:pPr>
      <w:r>
        <w:t>Confirm that components and hardware packs are in acceptable condition for shipment and that corrective work identified during DUPRO has been addressed.</w:t>
      </w:r>
    </w:p>
    <w:p>
      <w:pPr>
        <w:pStyle w:val="ListBullet"/>
        <w:spacing w:after="40" w:line="245" w:lineRule="auto"/>
        <w:ind w:left="259" w:hanging="202"/>
      </w:pPr>
      <w:r>
        <w:t>Observe packing steps to ensure components, hardware and protection materials are placed into the carton using suitable handling methods to prevent transport damage and missing parts.</w:t>
      </w:r>
    </w:p>
    <w:p>
      <w:pPr>
        <w:pStyle w:val="ListBullet"/>
        <w:spacing w:after="40" w:line="245" w:lineRule="auto"/>
        <w:ind w:left="259" w:hanging="202"/>
      </w:pPr>
      <w:r>
        <w:t>Check and confirm the first-piece packing sample.</w:t>
      </w:r>
    </w:p>
    <w:p>
      <w:pPr>
        <w:pStyle w:val="ListBullet"/>
        <w:spacing w:after="40" w:line="245" w:lineRule="auto"/>
        <w:ind w:left="259" w:hanging="202"/>
      </w:pPr>
      <w:r>
        <w:t>Check carton specifications and packing materials against the approved packing BOM.</w:t>
      </w:r>
    </w:p>
    <w:p>
      <w:pPr>
        <w:pStyle w:val="Heading2"/>
        <w:keepNext/>
        <w:spacing w:before="80" w:after="60" w:line="245" w:lineRule="auto"/>
      </w:pPr>
      <w:r>
        <w:t>4.3 Assembly Verification</w:t>
      </w:r>
    </w:p>
    <w:p>
      <w:pPr>
        <w:pStyle w:val="ListBullet"/>
        <w:spacing w:after="40" w:line="245" w:lineRule="auto"/>
        <w:ind w:left="259" w:hanging="202"/>
      </w:pPr>
      <w:r>
        <w:t>Fully assemble at least two packed product samples according to the approved assembly instructions, where applicable.</w:t>
      </w:r>
    </w:p>
    <w:p>
      <w:pPr>
        <w:pStyle w:val="ListBullet"/>
        <w:spacing w:after="40" w:line="245" w:lineRule="auto"/>
        <w:ind w:left="259" w:hanging="202"/>
      </w:pPr>
      <w:r>
        <w:t>Confirm that the assembly instructions are workable and accurately describe the assembly sequence.</w:t>
      </w:r>
    </w:p>
    <w:p>
      <w:pPr>
        <w:pStyle w:val="ListBullet"/>
        <w:spacing w:after="40" w:line="245" w:lineRule="auto"/>
        <w:ind w:left="259" w:hanging="202"/>
      </w:pPr>
      <w:r>
        <w:t>Record any assembly difficulty caused by manufacturing imperfections and select an additional two samples for the same assembly test.</w:t>
      </w:r>
    </w:p>
    <w:p>
      <w:pPr>
        <w:pStyle w:val="ListBullet"/>
        <w:spacing w:after="40" w:line="245" w:lineRule="auto"/>
        <w:ind w:left="259" w:hanging="202"/>
      </w:pPr>
      <w:r>
        <w:t>If the same manufacturing-related assembly difficulty occurs again, the shipment should be rejected pending disposition and corrective action.</w:t>
      </w:r>
    </w:p>
    <w:p>
      <w:pPr>
        <w:pStyle w:val="Heading2"/>
        <w:keepNext/>
        <w:spacing w:before="80" w:after="60" w:line="245" w:lineRule="auto"/>
      </w:pPr>
      <w:r>
        <w:t>4.4 Transit Test, AQL and Quantity</w:t>
      </w:r>
    </w:p>
    <w:p>
      <w:pPr>
        <w:pStyle w:val="ListBullet"/>
        <w:spacing w:after="40" w:line="245" w:lineRule="auto"/>
        <w:ind w:left="259" w:hanging="202"/>
      </w:pPr>
      <w:r>
        <w:t>Conduct the in-house transit test according to the applicable customer-appointed protocol.</w:t>
      </w:r>
    </w:p>
    <w:p>
      <w:pPr>
        <w:pStyle w:val="ListBullet"/>
        <w:spacing w:after="40" w:line="245" w:lineRule="auto"/>
        <w:ind w:left="259" w:hanging="202"/>
      </w:pPr>
      <w:r>
        <w:t>Conduct the normal AQL selection for overall quality inspection according to the applicable inspection plan.</w:t>
      </w:r>
    </w:p>
    <w:p>
      <w:pPr>
        <w:pStyle w:val="ListBullet"/>
        <w:spacing w:after="40" w:line="245" w:lineRule="auto"/>
        <w:ind w:left="259" w:hanging="202"/>
      </w:pPr>
      <w:r>
        <w:t>Count shipment quantity against the order quantity.</w:t>
      </w:r>
    </w:p>
    <w:p>
      <w:pPr>
        <w:pStyle w:val="ListBullet"/>
        <w:spacing w:after="40" w:line="245" w:lineRule="auto"/>
        <w:ind w:left="259" w:hanging="202"/>
      </w:pPr>
      <w:r>
        <w:t>Issue the PSI report and record the final inspection status.</w:t>
      </w:r>
    </w:p>
    <w:p>
      <w:pPr>
        <w:pStyle w:val="Heading1"/>
        <w:keepNext/>
        <w:spacing w:before="120" w:after="60" w:line="245" w:lineRule="auto"/>
      </w:pPr>
      <w:r>
        <w:t>5. Minimum Inspection Reference Set</w:t>
      </w:r>
    </w:p>
    <w:tbl>
      <w:tblPr>
        <w:tblW w:type="auto" w:w="0"/>
        <w:jc w:val="center"/>
        <w:tblLayout w:type="fixed"/>
        <w:tblLook w:firstColumn="1" w:firstRow="1" w:lastColumn="0" w:lastRow="0" w:noHBand="0" w:noVBand="1" w:val="04A0"/>
        <w:tblBorders>
          <w:top w:val="single" w:sz="4" w:color="C9D0D6"/>
          <w:left w:val="single" w:sz="4" w:color="C9D0D6"/>
          <w:bottom w:val="single" w:sz="4" w:color="C9D0D6"/>
          <w:right w:val="single" w:sz="4" w:color="C9D0D6"/>
          <w:insideH w:val="single" w:sz="4" w:color="C9D0D6"/>
          <w:insideV w:val="single" w:sz="4" w:color="C9D0D6"/>
        </w:tblBorders>
      </w:tblPr>
      <w:tblGrid>
        <w:gridCol w:w="3442"/>
        <w:gridCol w:w="3442"/>
        <w:gridCol w:w="3442"/>
      </w:tblGrid>
      <w:tr>
        <w:trPr>
          <w:tblHeader w:val="true"/>
        </w:trPr>
        <w:tc>
          <w:tcPr>
            <w:tcW w:type="dxa" w:w="2880"/>
            <w:vAlign w:val="center"/>
            <w:shd w:fill="D9EAF7"/>
          </w:tcPr>
          <w:p>
            <w:pPr>
              <w:spacing w:after="0"/>
            </w:pPr>
            <w:r/>
            <w:r>
              <w:rPr>
                <w:rFonts w:ascii="Arial" w:hAnsi="Arial"/>
                <w:b/>
                <w:sz w:val="16"/>
              </w:rPr>
              <w:t>Reference</w:t>
            </w:r>
          </w:p>
        </w:tc>
        <w:tc>
          <w:tcPr>
            <w:tcW w:type="dxa" w:w="3600"/>
            <w:vAlign w:val="center"/>
            <w:shd w:fill="D9EAF7"/>
          </w:tcPr>
          <w:p>
            <w:pPr>
              <w:spacing w:after="0"/>
            </w:pPr>
            <w:r/>
            <w:r>
              <w:rPr>
                <w:rFonts w:ascii="Arial" w:hAnsi="Arial"/>
                <w:b/>
                <w:sz w:val="16"/>
              </w:rPr>
              <w:t>Used For</w:t>
            </w:r>
          </w:p>
        </w:tc>
        <w:tc>
          <w:tcPr>
            <w:tcW w:type="dxa" w:w="4680"/>
            <w:vAlign w:val="center"/>
            <w:shd w:fill="D9EAF7"/>
          </w:tcPr>
          <w:p>
            <w:pPr>
              <w:spacing w:after="0"/>
            </w:pPr>
            <w:r/>
            <w:r>
              <w:rPr>
                <w:rFonts w:ascii="Arial" w:hAnsi="Arial"/>
                <w:b/>
                <w:sz w:val="16"/>
              </w:rPr>
              <w:t>Status / Record</w:t>
            </w:r>
          </w:p>
        </w:tc>
      </w:tr>
      <w:tr>
        <w:tc>
          <w:tcPr>
            <w:tcW w:type="dxa" w:w="3442"/>
            <w:vAlign w:val="center"/>
          </w:tcPr>
          <w:p>
            <w:pPr>
              <w:spacing w:after="0"/>
            </w:pPr>
            <w:r/>
            <w:r>
              <w:rPr>
                <w:rFonts w:ascii="Arial" w:hAnsi="Arial"/>
                <w:b/>
                <w:sz w:val="16"/>
              </w:rPr>
              <w:t>Product Specification</w:t>
            </w:r>
          </w:p>
        </w:tc>
        <w:tc>
          <w:tcPr>
            <w:tcW w:type="dxa" w:w="3442"/>
            <w:vAlign w:val="center"/>
          </w:tcPr>
          <w:p>
            <w:pPr>
              <w:spacing w:after="0"/>
            </w:pPr>
            <w:r/>
            <w:r>
              <w:rPr>
                <w:rFonts w:ascii="Arial" w:hAnsi="Arial"/>
                <w:b w:val="0"/>
                <w:sz w:val="16"/>
              </w:rPr>
              <w:t>Dimensions, materials, construction, finishing and product features</w:t>
            </w:r>
          </w:p>
        </w:tc>
        <w:tc>
          <w:tcPr>
            <w:tcW w:type="dxa" w:w="3442"/>
            <w:vAlign w:val="center"/>
          </w:tcPr>
          <w:p>
            <w:pPr>
              <w:spacing w:after="0"/>
            </w:pPr>
            <w:r/>
            <w:r>
              <w:rPr>
                <w:rFonts w:ascii="Arial" w:hAnsi="Arial"/>
                <w:b w:val="0"/>
                <w:sz w:val="16"/>
              </w:rPr>
              <w:t>Latest approved version</w:t>
            </w:r>
          </w:p>
        </w:tc>
      </w:tr>
      <w:tr>
        <w:tc>
          <w:tcPr>
            <w:tcW w:type="dxa" w:w="3442"/>
            <w:vAlign w:val="center"/>
          </w:tcPr>
          <w:p>
            <w:pPr>
              <w:spacing w:after="0"/>
            </w:pPr>
            <w:r/>
            <w:r>
              <w:rPr>
                <w:rFonts w:ascii="Arial" w:hAnsi="Arial"/>
                <w:b/>
                <w:sz w:val="16"/>
              </w:rPr>
              <w:t>Manufacturing Drawing</w:t>
            </w:r>
          </w:p>
        </w:tc>
        <w:tc>
          <w:tcPr>
            <w:tcW w:type="dxa" w:w="3442"/>
            <w:vAlign w:val="center"/>
          </w:tcPr>
          <w:p>
            <w:pPr>
              <w:spacing w:after="0"/>
            </w:pPr>
            <w:r/>
            <w:r>
              <w:rPr>
                <w:rFonts w:ascii="Arial" w:hAnsi="Arial"/>
                <w:b w:val="0"/>
                <w:sz w:val="16"/>
              </w:rPr>
              <w:t>Component dimensions, holes, geometry and concealed structures</w:t>
            </w:r>
          </w:p>
        </w:tc>
        <w:tc>
          <w:tcPr>
            <w:tcW w:type="dxa" w:w="3442"/>
            <w:vAlign w:val="center"/>
          </w:tcPr>
          <w:p>
            <w:pPr>
              <w:spacing w:after="0"/>
            </w:pPr>
            <w:r/>
            <w:r>
              <w:rPr>
                <w:rFonts w:ascii="Arial" w:hAnsi="Arial"/>
                <w:b w:val="0"/>
                <w:sz w:val="16"/>
              </w:rPr>
              <w:t>Latest approved version</w:t>
            </w:r>
          </w:p>
        </w:tc>
      </w:tr>
      <w:tr>
        <w:tc>
          <w:tcPr>
            <w:tcW w:type="dxa" w:w="3442"/>
            <w:vAlign w:val="center"/>
          </w:tcPr>
          <w:p>
            <w:pPr>
              <w:spacing w:after="0"/>
            </w:pPr>
            <w:r/>
            <w:r>
              <w:rPr>
                <w:rFonts w:ascii="Arial" w:hAnsi="Arial"/>
                <w:b/>
                <w:sz w:val="16"/>
              </w:rPr>
              <w:t>BOM / Hardware BOM</w:t>
            </w:r>
          </w:p>
        </w:tc>
        <w:tc>
          <w:tcPr>
            <w:tcW w:type="dxa" w:w="3442"/>
            <w:vAlign w:val="center"/>
          </w:tcPr>
          <w:p>
            <w:pPr>
              <w:spacing w:after="0"/>
            </w:pPr>
            <w:r/>
            <w:r>
              <w:rPr>
                <w:rFonts w:ascii="Arial" w:hAnsi="Arial"/>
                <w:b w:val="0"/>
                <w:sz w:val="16"/>
              </w:rPr>
              <w:t>Materials, hardware type, quantity and specification</w:t>
            </w:r>
          </w:p>
        </w:tc>
        <w:tc>
          <w:tcPr>
            <w:tcW w:type="dxa" w:w="3442"/>
            <w:vAlign w:val="center"/>
          </w:tcPr>
          <w:p>
            <w:pPr>
              <w:spacing w:after="0"/>
            </w:pPr>
            <w:r/>
            <w:r>
              <w:rPr>
                <w:rFonts w:ascii="Arial" w:hAnsi="Arial"/>
                <w:b w:val="0"/>
                <w:sz w:val="16"/>
              </w:rPr>
              <w:t>Latest approved version</w:t>
            </w:r>
          </w:p>
        </w:tc>
      </w:tr>
      <w:tr>
        <w:tc>
          <w:tcPr>
            <w:tcW w:type="dxa" w:w="3442"/>
            <w:vAlign w:val="center"/>
          </w:tcPr>
          <w:p>
            <w:pPr>
              <w:spacing w:after="0"/>
            </w:pPr>
            <w:r/>
            <w:r>
              <w:rPr>
                <w:rFonts w:ascii="Arial" w:hAnsi="Arial"/>
                <w:b/>
                <w:sz w:val="16"/>
              </w:rPr>
              <w:t>Approved Sample / Binding Sample</w:t>
            </w:r>
          </w:p>
        </w:tc>
        <w:tc>
          <w:tcPr>
            <w:tcW w:type="dxa" w:w="3442"/>
            <w:vAlign w:val="center"/>
          </w:tcPr>
          <w:p>
            <w:pPr>
              <w:spacing w:after="0"/>
            </w:pPr>
            <w:r/>
            <w:r>
              <w:rPr>
                <w:rFonts w:ascii="Arial" w:hAnsi="Arial"/>
                <w:b w:val="0"/>
                <w:sz w:val="16"/>
              </w:rPr>
              <w:t>Appearance, colour, finishing and construction reference</w:t>
            </w:r>
          </w:p>
        </w:tc>
        <w:tc>
          <w:tcPr>
            <w:tcW w:type="dxa" w:w="3442"/>
            <w:vAlign w:val="center"/>
          </w:tcPr>
          <w:p>
            <w:pPr>
              <w:spacing w:after="0"/>
            </w:pPr>
            <w:r/>
            <w:r>
              <w:rPr>
                <w:rFonts w:ascii="Arial" w:hAnsi="Arial"/>
                <w:b w:val="0"/>
                <w:sz w:val="16"/>
              </w:rPr>
              <w:t>Approved reference</w:t>
            </w:r>
          </w:p>
        </w:tc>
      </w:tr>
      <w:tr>
        <w:tc>
          <w:tcPr>
            <w:tcW w:type="dxa" w:w="3442"/>
            <w:vAlign w:val="center"/>
          </w:tcPr>
          <w:p>
            <w:pPr>
              <w:spacing w:after="0"/>
            </w:pPr>
            <w:r/>
            <w:r>
              <w:rPr>
                <w:rFonts w:ascii="Arial" w:hAnsi="Arial"/>
                <w:b/>
                <w:sz w:val="16"/>
              </w:rPr>
              <w:t>Packing BOM / Packing Specification</w:t>
            </w:r>
          </w:p>
        </w:tc>
        <w:tc>
          <w:tcPr>
            <w:tcW w:type="dxa" w:w="3442"/>
            <w:vAlign w:val="center"/>
          </w:tcPr>
          <w:p>
            <w:pPr>
              <w:spacing w:after="0"/>
            </w:pPr>
            <w:r/>
            <w:r>
              <w:rPr>
                <w:rFonts w:ascii="Arial" w:hAnsi="Arial"/>
                <w:b w:val="0"/>
                <w:sz w:val="16"/>
              </w:rPr>
              <w:t>Carton, protection materials and packing configuration</w:t>
            </w:r>
          </w:p>
        </w:tc>
        <w:tc>
          <w:tcPr>
            <w:tcW w:type="dxa" w:w="3442"/>
            <w:vAlign w:val="center"/>
          </w:tcPr>
          <w:p>
            <w:pPr>
              <w:spacing w:after="0"/>
            </w:pPr>
            <w:r/>
            <w:r>
              <w:rPr>
                <w:rFonts w:ascii="Arial" w:hAnsi="Arial"/>
                <w:b w:val="0"/>
                <w:sz w:val="16"/>
              </w:rPr>
              <w:t>Approved packing reference</w:t>
            </w:r>
          </w:p>
        </w:tc>
      </w:tr>
      <w:tr>
        <w:tc>
          <w:tcPr>
            <w:tcW w:type="dxa" w:w="3442"/>
            <w:vAlign w:val="center"/>
          </w:tcPr>
          <w:p>
            <w:pPr>
              <w:spacing w:after="0"/>
            </w:pPr>
            <w:r/>
            <w:r>
              <w:rPr>
                <w:rFonts w:ascii="Arial" w:hAnsi="Arial"/>
                <w:b/>
                <w:sz w:val="16"/>
              </w:rPr>
              <w:t>Assembly Instruction</w:t>
            </w:r>
          </w:p>
        </w:tc>
        <w:tc>
          <w:tcPr>
            <w:tcW w:type="dxa" w:w="3442"/>
            <w:vAlign w:val="center"/>
          </w:tcPr>
          <w:p>
            <w:pPr>
              <w:spacing w:after="0"/>
            </w:pPr>
            <w:r/>
            <w:r>
              <w:rPr>
                <w:rFonts w:ascii="Arial" w:hAnsi="Arial"/>
                <w:b w:val="0"/>
                <w:sz w:val="16"/>
              </w:rPr>
              <w:t>Assembly sequence and product assembly verification</w:t>
            </w:r>
          </w:p>
        </w:tc>
        <w:tc>
          <w:tcPr>
            <w:tcW w:type="dxa" w:w="3442"/>
            <w:vAlign w:val="center"/>
          </w:tcPr>
          <w:p>
            <w:pPr>
              <w:spacing w:after="0"/>
            </w:pPr>
            <w:r/>
            <w:r>
              <w:rPr>
                <w:rFonts w:ascii="Arial" w:hAnsi="Arial"/>
                <w:b w:val="0"/>
                <w:sz w:val="16"/>
              </w:rPr>
              <w:t>Approved / project reference</w:t>
            </w:r>
          </w:p>
        </w:tc>
      </w:tr>
      <w:tr>
        <w:tc>
          <w:tcPr>
            <w:tcW w:type="dxa" w:w="3442"/>
            <w:vAlign w:val="center"/>
          </w:tcPr>
          <w:p>
            <w:pPr>
              <w:spacing w:after="0"/>
            </w:pPr>
            <w:r/>
            <w:r>
              <w:rPr>
                <w:rFonts w:ascii="Arial" w:hAnsi="Arial"/>
                <w:b/>
                <w:sz w:val="16"/>
              </w:rPr>
              <w:t>Applicable Test Protocol</w:t>
            </w:r>
          </w:p>
        </w:tc>
        <w:tc>
          <w:tcPr>
            <w:tcW w:type="dxa" w:w="3442"/>
            <w:vAlign w:val="center"/>
          </w:tcPr>
          <w:p>
            <w:pPr>
              <w:spacing w:after="0"/>
            </w:pPr>
            <w:r/>
            <w:r>
              <w:rPr>
                <w:rFonts w:ascii="Arial" w:hAnsi="Arial"/>
                <w:b w:val="0"/>
                <w:sz w:val="16"/>
              </w:rPr>
              <w:t>Transit / test requirements</w:t>
            </w:r>
          </w:p>
        </w:tc>
        <w:tc>
          <w:tcPr>
            <w:tcW w:type="dxa" w:w="3442"/>
            <w:vAlign w:val="center"/>
          </w:tcPr>
          <w:p>
            <w:pPr>
              <w:spacing w:after="0"/>
            </w:pPr>
            <w:r/>
            <w:r>
              <w:rPr>
                <w:rFonts w:ascii="Arial" w:hAnsi="Arial"/>
                <w:b w:val="0"/>
                <w:sz w:val="16"/>
              </w:rPr>
              <w:t>Customer / project requirement</w:t>
            </w:r>
          </w:p>
        </w:tc>
      </w:tr>
      <w:tr>
        <w:tc>
          <w:tcPr>
            <w:tcW w:type="dxa" w:w="3442"/>
            <w:vAlign w:val="center"/>
          </w:tcPr>
          <w:p>
            <w:pPr>
              <w:spacing w:after="0"/>
            </w:pPr>
            <w:r/>
            <w:r>
              <w:rPr>
                <w:rFonts w:ascii="Arial" w:hAnsi="Arial"/>
                <w:b/>
                <w:sz w:val="16"/>
              </w:rPr>
              <w:t>Inspection Records</w:t>
            </w:r>
          </w:p>
        </w:tc>
        <w:tc>
          <w:tcPr>
            <w:tcW w:type="dxa" w:w="3442"/>
            <w:vAlign w:val="center"/>
          </w:tcPr>
          <w:p>
            <w:pPr>
              <w:spacing w:after="0"/>
            </w:pPr>
            <w:r/>
            <w:r>
              <w:rPr>
                <w:rFonts w:ascii="Arial" w:hAnsi="Arial"/>
                <w:b w:val="0"/>
                <w:sz w:val="16"/>
              </w:rPr>
              <w:t>DUPRO findings, corrective action and PSI result</w:t>
            </w:r>
          </w:p>
        </w:tc>
        <w:tc>
          <w:tcPr>
            <w:tcW w:type="dxa" w:w="3442"/>
            <w:vAlign w:val="center"/>
          </w:tcPr>
          <w:p>
            <w:pPr>
              <w:spacing w:after="0"/>
            </w:pPr>
            <w:r/>
            <w:r>
              <w:rPr>
                <w:rFonts w:ascii="Arial" w:hAnsi="Arial"/>
                <w:b w:val="0"/>
                <w:sz w:val="16"/>
              </w:rPr>
              <w:t>Completed and retained</w:t>
            </w:r>
          </w:p>
        </w:tc>
      </w:tr>
    </w:tbl>
    <w:p>
      <w:pPr>
        <w:pStyle w:val="Heading1"/>
        <w:keepNext/>
        <w:spacing w:before="120" w:after="60" w:line="245" w:lineRule="auto"/>
      </w:pPr>
      <w:r>
        <w:t>6. Inspection Records and Release</w:t>
      </w:r>
    </w:p>
    <w:p>
      <w:pPr>
        <w:pStyle w:val="ListBullet"/>
        <w:spacing w:after="40" w:line="245" w:lineRule="auto"/>
        <w:ind w:left="259" w:hanging="202"/>
      </w:pPr>
      <w:r>
        <w:t>Inspection records shall identify the inspected product / item, inspection date, factory / supplier, inspector and applicable reference documents.</w:t>
      </w:r>
    </w:p>
    <w:p>
      <w:pPr>
        <w:pStyle w:val="ListBullet"/>
        <w:spacing w:after="40" w:line="245" w:lineRule="auto"/>
        <w:ind w:left="259" w:hanging="202"/>
      </w:pPr>
      <w:r>
        <w:t>Photographs should be used where they provide useful evidence of a finding, correction or product condition.</w:t>
      </w:r>
    </w:p>
    <w:p>
      <w:pPr>
        <w:pStyle w:val="ListBullet"/>
        <w:spacing w:after="40" w:line="245" w:lineRule="auto"/>
        <w:ind w:left="259" w:hanging="202"/>
      </w:pPr>
      <w:r>
        <w:t>Corrective actions shall be recorded and verified when required.</w:t>
      </w:r>
    </w:p>
    <w:p>
      <w:pPr>
        <w:pStyle w:val="ListBullet"/>
        <w:spacing w:after="40" w:line="245" w:lineRule="auto"/>
        <w:ind w:left="259" w:hanging="202"/>
      </w:pPr>
      <w:r>
        <w:t>Final shipment release shall be based on the applicable approved requirements and recorded inspection results.</w:t>
      </w:r>
    </w:p>
    <w:p>
      <w:pPr>
        <w:pStyle w:val="Heading1"/>
        <w:keepNext/>
        <w:spacing w:before="120" w:after="60" w:line="245" w:lineRule="auto"/>
      </w:pPr>
      <w:r>
        <w:t>7. Prepared By</w:t>
      </w:r>
    </w:p>
    <w:tbl>
      <w:tblPr>
        <w:tblW w:type="auto" w:w="0"/>
        <w:jc w:val="center"/>
        <w:tblLayout w:type="fixed"/>
        <w:tblLook w:firstColumn="1" w:firstRow="1" w:lastColumn="0" w:lastRow="0" w:noHBand="0" w:noVBand="1" w:val="04A0"/>
        <w:tblBorders>
          <w:top w:val="single" w:sz="4" w:color="C9D0D6"/>
          <w:left w:val="single" w:sz="4" w:color="C9D0D6"/>
          <w:bottom w:val="single" w:sz="4" w:color="C9D0D6"/>
          <w:right w:val="single" w:sz="4" w:color="C9D0D6"/>
          <w:insideH w:val="single" w:sz="4" w:color="C9D0D6"/>
          <w:insideV w:val="single" w:sz="4" w:color="C9D0D6"/>
        </w:tblBorders>
      </w:tblPr>
      <w:tblGrid>
        <w:gridCol w:w="2581"/>
        <w:gridCol w:w="2581"/>
        <w:gridCol w:w="2581"/>
        <w:gridCol w:w="2581"/>
      </w:tblGrid>
      <w:tr>
        <w:tc>
          <w:tcPr>
            <w:tcW w:type="dxa" w:w="2592"/>
            <w:vAlign w:val="center"/>
            <w:shd w:fill="D9EAF7"/>
          </w:tcPr>
          <w:p>
            <w:pPr>
              <w:spacing w:after="0"/>
            </w:pPr>
            <w:r/>
            <w:r>
              <w:rPr>
                <w:rFonts w:ascii="Arial" w:hAnsi="Arial"/>
                <w:b/>
                <w:sz w:val="16"/>
              </w:rPr>
              <w:t>Prepared by</w:t>
            </w:r>
          </w:p>
        </w:tc>
        <w:tc>
          <w:tcPr>
            <w:tcW w:type="dxa" w:w="2592"/>
            <w:vAlign w:val="center"/>
          </w:tcPr>
          <w:p>
            <w:pPr>
              <w:spacing w:after="0"/>
            </w:pPr>
            <w:r/>
            <w:r>
              <w:rPr>
                <w:rFonts w:ascii="Arial" w:hAnsi="Arial"/>
                <w:b w:val="0"/>
                <w:sz w:val="16"/>
              </w:rPr>
              <w:t>________________</w:t>
            </w:r>
          </w:p>
        </w:tc>
        <w:tc>
          <w:tcPr>
            <w:tcW w:type="dxa" w:w="2592"/>
            <w:vAlign w:val="center"/>
            <w:shd w:fill="D9EAF7"/>
          </w:tcPr>
          <w:p>
            <w:pPr>
              <w:spacing w:after="0"/>
            </w:pPr>
            <w:r/>
            <w:r>
              <w:rPr>
                <w:rFonts w:ascii="Arial" w:hAnsi="Arial"/>
                <w:b/>
                <w:sz w:val="16"/>
              </w:rPr>
              <w:t>Date</w:t>
            </w:r>
          </w:p>
        </w:tc>
        <w:tc>
          <w:tcPr>
            <w:tcW w:type="dxa" w:w="2592"/>
            <w:vAlign w:val="center"/>
          </w:tcPr>
          <w:p>
            <w:pPr>
              <w:spacing w:after="0"/>
            </w:pPr>
            <w:r/>
            <w:r>
              <w:rPr>
                <w:rFonts w:ascii="Arial" w:hAnsi="Arial"/>
                <w:b w:val="0"/>
                <w:sz w:val="16"/>
              </w:rPr>
              <w:t>________________</w:t>
            </w:r>
          </w:p>
        </w:tc>
      </w:tr>
      <w:tr>
        <w:tc>
          <w:tcPr>
            <w:tcW w:type="dxa" w:w="2592"/>
            <w:vAlign w:val="center"/>
            <w:shd w:fill="D9EAF7"/>
          </w:tcPr>
          <w:p>
            <w:pPr>
              <w:spacing w:after="0"/>
            </w:pPr>
            <w:r/>
            <w:r>
              <w:rPr>
                <w:rFonts w:ascii="Arial" w:hAnsi="Arial"/>
                <w:b/>
                <w:sz w:val="16"/>
              </w:rPr>
              <w:t>Document status</w:t>
            </w:r>
          </w:p>
        </w:tc>
        <w:tc>
          <w:tcPr>
            <w:tcW w:type="dxa" w:w="2592"/>
            <w:vAlign w:val="center"/>
          </w:tcPr>
          <w:p>
            <w:pPr>
              <w:spacing w:after="0"/>
            </w:pPr>
            <w:r/>
            <w:r>
              <w:rPr>
                <w:rFonts w:ascii="Arial" w:hAnsi="Arial"/>
                <w:b w:val="0"/>
                <w:sz w:val="16"/>
              </w:rPr>
              <w:t>TSG Furniture QA Procedure</w:t>
            </w:r>
          </w:p>
        </w:tc>
        <w:tc>
          <w:tcPr>
            <w:tcW w:type="dxa" w:w="2592"/>
            <w:vAlign w:val="center"/>
            <w:shd w:fill="D9EAF7"/>
          </w:tcPr>
          <w:p>
            <w:pPr>
              <w:spacing w:after="0"/>
            </w:pPr>
            <w:r/>
            <w:r>
              <w:rPr>
                <w:rFonts w:ascii="Arial" w:hAnsi="Arial"/>
                <w:b/>
                <w:sz w:val="16"/>
              </w:rPr>
              <w:t>Revision</w:t>
            </w:r>
          </w:p>
        </w:tc>
        <w:tc>
          <w:tcPr>
            <w:tcW w:type="dxa" w:w="2592"/>
            <w:vAlign w:val="center"/>
          </w:tcPr>
          <w:p>
            <w:pPr>
              <w:spacing w:after="0"/>
            </w:pPr>
            <w:r/>
            <w:r>
              <w:rPr>
                <w:rFonts w:ascii="Arial" w:hAnsi="Arial"/>
                <w:b w:val="0"/>
                <w:sz w:val="16"/>
              </w:rPr>
              <w:t>Rev. 01</w:t>
            </w:r>
          </w:p>
        </w:tc>
      </w:tr>
    </w:tbl>
    <w:sectPr>
      <w:headerReference w:type="default" r:id="rId9"/>
      <w:footerReference w:type="default" r:id="rId10"/>
      <w:pgSz w:w="11909" w:h="16834"/>
      <w:pgMar w:top="792" w:right="792" w:bottom="792" w:left="792"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Top Systems Group Inc. | Quality Assurance Department | Prepared by: __________ | Date: __________ | Page </w:t>
    </w:r>
    <w:fldSimple w:instr="PAGE"/>
    <w:r>
      <w:t xml:space="preserve"> of </w:t>
    </w:r>
    <w:fldSimple w:instr="NUMPAGES"/>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sz w:val="22"/>
      </w:rPr>
      <w:t>TOP SYSTEMS GROUP INC.</w:t>
      <w:br/>
      <w:t>QUALITY ASSURANCE DEPARTMENT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9"/>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4729C"/>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